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方正仿宋简体"/>
          <w:sz w:val="30"/>
          <w:szCs w:val="30"/>
        </w:rPr>
      </w:pPr>
      <w:r>
        <w:rPr>
          <w:rFonts w:hint="eastAsia" w:ascii="方正仿宋简体"/>
          <w:sz w:val="30"/>
          <w:szCs w:val="30"/>
        </w:rPr>
        <w:t>附件2</w:t>
      </w:r>
    </w:p>
    <w:p>
      <w:pPr>
        <w:spacing w:line="594" w:lineRule="exact"/>
        <w:ind w:firstLine="42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农业部管理干部学院路线图</w:t>
      </w:r>
    </w:p>
    <w:p>
      <w:pPr>
        <w:ind w:firstLine="640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107950</wp:posOffset>
            </wp:positionV>
            <wp:extent cx="4657090" cy="2943225"/>
            <wp:effectExtent l="0" t="0" r="10160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eastAsia" w:eastAsia="仿宋_GB2312" w:cs="仿宋_GB2312"/>
          <w:szCs w:val="22"/>
        </w:rPr>
      </w:pPr>
      <w:r>
        <w:rPr>
          <w:rFonts w:hint="eastAsia" w:eastAsia="仿宋_GB2312" w:cs="仿宋_GB2312"/>
          <w:szCs w:val="22"/>
        </w:rPr>
        <w:t>1. 自驾车在八达岭高速“回龙观出口”出，右拐进入回龙观西大街，一直直行到回龙观东大街，到黄平路后红绿灯右拐200米即到。</w:t>
      </w:r>
    </w:p>
    <w:p>
      <w:pPr>
        <w:adjustRightInd w:val="0"/>
        <w:snapToGrid w:val="0"/>
        <w:spacing w:line="594" w:lineRule="exact"/>
        <w:ind w:firstLine="608"/>
        <w:rPr>
          <w:rFonts w:hint="eastAsia" w:eastAsia="仿宋_GB2312" w:cs="仿宋_GB2312"/>
          <w:szCs w:val="22"/>
        </w:rPr>
      </w:pPr>
      <w:r>
        <w:rPr>
          <w:rFonts w:hint="eastAsia" w:eastAsia="仿宋_GB2312" w:cs="仿宋_GB2312"/>
          <w:szCs w:val="22"/>
        </w:rPr>
        <w:t xml:space="preserve">2. 地铁8号线回龙观东大街站，在学院西北方向约400米，可从C口出站，沿回龙观大街向东步行200米，路口向南步行200米到达；也可从D口出站，乘公交462路到达。 </w:t>
      </w:r>
    </w:p>
    <w:p>
      <w:pPr>
        <w:snapToGrid w:val="0"/>
        <w:spacing w:line="594" w:lineRule="exact"/>
        <w:ind w:firstLine="640" w:firstLineChars="200"/>
        <w:rPr>
          <w:rFonts w:hint="eastAsia" w:eastAsia="仿宋_GB2312" w:cs="仿宋_GB2312"/>
          <w:szCs w:val="22"/>
        </w:rPr>
      </w:pPr>
      <w:r>
        <w:rPr>
          <w:rFonts w:hint="eastAsia" w:eastAsia="仿宋_GB2312" w:cs="仿宋_GB2312"/>
          <w:szCs w:val="22"/>
        </w:rPr>
        <w:t>3. 地铁13号线霍营站，在学院西南方向约1200米，可从A口出站，向东北方向步行100米至黄平路南侧，乘公交371路（或478路、607路、681路）到达。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ZDdhNjZhN2RjYTNmNjY1N2EwNzNlYjdjNjRjNTMifQ=="/>
  </w:docVars>
  <w:rsids>
    <w:rsidRoot w:val="41793820"/>
    <w:rsid w:val="417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方正仿宋简体" w:cs="Times New Roman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0" w:lineRule="atLeast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2024-04-09T07:30:00Z</dcterms:created>
  <dc:creator>WJ</dc:creator>
  <cp:lastModifiedBy>WJ</cp:lastModifiedBy>
  <dcterms:modified xsi:type="dcterms:W3CDTF">2024-04-09T07:30:55Z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6B04DE2DC6BD4F17839B2107F32C056E_11</vt:lpwstr>
  </property>
</Properties>
</file>